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  <w:spacing w:after="0" w:before="0" w:line="100" w:lineRule="atLeast"/>
      </w:pPr>
      <w:r>
        <w:rPr>
          <w:sz w:val="28"/>
          <w:b/>
          <w:szCs w:val="28"/>
          <w:rFonts w:ascii="Times New Roman" w:cs="Times New Roman" w:hAnsi="Times New Roman"/>
        </w:rPr>
        <w:t>Тезисы к докладу Междитов С.У.  «Мероприятия, финансирование которых планируется за счет средств федерального бюджета по основной деятельности Росводресурсов в 2018 году, в соответствии с регламентом формирования бюджетных проектировок на 2018 и плановый период 2019 и 2020 годов по зоне действия Уральского бассейнового округа»</w:t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 xml:space="preserve">Министерство природопользования и экологии Республики Башкортостан представило в Федеральное агентство водных ресурсов обосновывающие материалы для защиты бюджетных проектировок на 2018 </w:t>
        <w:br/>
        <w:t>и плановый период 2019 и 2020 годов.</w:t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Ежегодно на реализацию мероприятий по капитальному ремонту ГТС выделяется субсидия из федерального бюджета в рамках ФЦП «Развитие водохозяйственного комплекса Российской Федерации в 2012-2020 годах».</w:t>
        <w:br/>
        <w:t>В зоне действия Уральского бассейнового округа находится 3 объекта капитального ремонта гидротехнических сооружений.</w:t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/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>
          <w:sz w:val="28"/>
          <w:i/>
          <w:b/>
          <w:szCs w:val="28"/>
          <w:rFonts w:ascii="Times New Roman" w:cs="Times New Roman" w:hAnsi="Times New Roman"/>
        </w:rPr>
        <w:t>1.Капитальный ремонт ГТС пруда на р. Магаш у д.Юлук МР Баймакский район РБ</w:t>
      </w:r>
    </w:p>
    <w:p>
      <w:pPr>
        <w:pStyle w:val="style21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Сроки реализации: 2017 – 2018 гг.</w:t>
      </w:r>
    </w:p>
    <w:p>
      <w:pPr>
        <w:pStyle w:val="style0"/>
        <w:ind w:hanging="0" w:left="708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 xml:space="preserve">Стоимость работ – 8,084 млн. руб.,в т.ч. по годам: </w:t>
        <w:br/>
        <w:t>2017 г. – 0,964 млн.руб.</w:t>
        <w:br/>
        <w:t>2018 г. – 7,120 млн.руб.</w:t>
      </w:r>
    </w:p>
    <w:p>
      <w:pPr>
        <w:pStyle w:val="style0"/>
        <w:ind w:firstLine="708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Предотвращаемый ущерб: 133,7 млн.руб.</w:t>
      </w:r>
    </w:p>
    <w:p>
      <w:pPr>
        <w:pStyle w:val="style0"/>
        <w:ind w:firstLine="708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Эффективность</w:t>
      </w:r>
      <w:r>
        <w:rPr>
          <w:sz w:val="28"/>
          <w:szCs w:val="28"/>
          <w:rFonts w:ascii="Times New Roman" w:cs="Times New Roman" w:hAnsi="Times New Roman"/>
          <w:lang w:val="en-US"/>
        </w:rPr>
        <w:t>:</w:t>
      </w:r>
      <w:r>
        <w:rPr>
          <w:sz w:val="28"/>
          <w:szCs w:val="28"/>
          <w:rFonts w:ascii="Times New Roman" w:cs="Times New Roman" w:hAnsi="Times New Roman"/>
        </w:rPr>
        <w:t>13,8</w:t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>
          <w:sz w:val="28"/>
          <w:i/>
          <w:b/>
          <w:szCs w:val="28"/>
          <w:rFonts w:ascii="Times New Roman" w:cs="Times New Roman" w:hAnsi="Times New Roman"/>
        </w:rPr>
        <w:t>2.Капитальный ремонт ГТС водохранилища на р.Кизяташ у д.Новоукраинка МР Хайбуллинский район РБ</w:t>
      </w:r>
    </w:p>
    <w:p>
      <w:pPr>
        <w:pStyle w:val="style0"/>
        <w:ind w:firstLine="708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Сроки реализации</w:t>
      </w:r>
      <w:r>
        <w:rPr>
          <w:sz w:val="28"/>
          <w:szCs w:val="28"/>
          <w:rFonts w:ascii="Times New Roman" w:cs="Times New Roman" w:hAnsi="Times New Roman"/>
          <w:lang w:val="en-US"/>
        </w:rPr>
        <w:t xml:space="preserve">: </w:t>
      </w:r>
      <w:r>
        <w:rPr>
          <w:sz w:val="28"/>
          <w:szCs w:val="28"/>
          <w:rFonts w:ascii="Times New Roman" w:cs="Times New Roman" w:hAnsi="Times New Roman"/>
        </w:rPr>
        <w:t>2017 – 2019 гг.</w:t>
      </w:r>
    </w:p>
    <w:p>
      <w:pPr>
        <w:pStyle w:val="style0"/>
        <w:ind w:hanging="0" w:left="708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 xml:space="preserve">Стоимость работ – 10,946 млн. руб.,в т.ч. по годам: </w:t>
        <w:br/>
        <w:t>2017 г. – 1,059 млн.руб.</w:t>
        <w:br/>
        <w:t>2018 г. – 7,943 млн.руб.</w:t>
        <w:br/>
        <w:t>2019 г. – 1,944 млн.руб.</w:t>
      </w:r>
    </w:p>
    <w:p>
      <w:pPr>
        <w:pStyle w:val="style0"/>
        <w:ind w:firstLine="708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Предотвращаемый ущерб: 34,7 млн.руб.</w:t>
      </w:r>
    </w:p>
    <w:p>
      <w:pPr>
        <w:pStyle w:val="style0"/>
        <w:ind w:firstLine="708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Эффективность: 2,76</w:t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>
          <w:sz w:val="28"/>
          <w:i/>
          <w:b/>
          <w:szCs w:val="28"/>
          <w:rFonts w:ascii="Times New Roman" w:cs="Times New Roman" w:hAnsi="Times New Roman"/>
        </w:rPr>
        <w:t>3.Капитальный ремонт ГТС водохранилища на р.Тулубай у д.Исянгильдино МР Хайбуллинский район РБ</w:t>
      </w:r>
    </w:p>
    <w:p>
      <w:pPr>
        <w:pStyle w:val="style0"/>
        <w:ind w:firstLine="708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Сроки реализации: 2017 – 2019 гг.</w:t>
      </w:r>
    </w:p>
    <w:p>
      <w:pPr>
        <w:pStyle w:val="style0"/>
        <w:ind w:firstLine="708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 xml:space="preserve">Стоимость работ – 9,484 млн. руб.,в т.ч. по годам: </w:t>
      </w:r>
    </w:p>
    <w:p>
      <w:pPr>
        <w:pStyle w:val="style0"/>
        <w:ind w:firstLine="708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2017 г. – 0,964 млн.руб.</w:t>
      </w:r>
    </w:p>
    <w:p>
      <w:pPr>
        <w:pStyle w:val="style21"/>
        <w:numPr>
          <w:ilvl w:val="0"/>
          <w:numId w:val="1"/>
        </w:numPr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 xml:space="preserve">– </w:t>
      </w:r>
      <w:r>
        <w:rPr>
          <w:sz w:val="28"/>
          <w:szCs w:val="28"/>
          <w:rFonts w:ascii="Times New Roman" w:cs="Times New Roman" w:hAnsi="Times New Roman"/>
        </w:rPr>
        <w:t>5,240 млн.руб.</w:t>
      </w:r>
    </w:p>
    <w:p>
      <w:pPr>
        <w:pStyle w:val="style21"/>
        <w:numPr>
          <w:ilvl w:val="0"/>
          <w:numId w:val="1"/>
        </w:numPr>
        <w:ind w:firstLine="708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2019 г. – 3,280 млн.руб.</w:t>
      </w:r>
    </w:p>
    <w:p>
      <w:pPr>
        <w:pStyle w:val="style0"/>
        <w:ind w:firstLine="708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Предотвращаемый ущерб</w:t>
      </w:r>
      <w:r>
        <w:rPr>
          <w:sz w:val="28"/>
          <w:szCs w:val="28"/>
          <w:rFonts w:ascii="Times New Roman" w:cs="Times New Roman" w:hAnsi="Times New Roman"/>
          <w:lang w:val="en-US"/>
        </w:rPr>
        <w:t xml:space="preserve">: </w:t>
      </w:r>
      <w:r>
        <w:rPr>
          <w:sz w:val="28"/>
          <w:szCs w:val="28"/>
          <w:rFonts w:ascii="Times New Roman" w:cs="Times New Roman" w:hAnsi="Times New Roman"/>
        </w:rPr>
        <w:t>20,3 млн.руб.</w:t>
      </w:r>
    </w:p>
    <w:p>
      <w:pPr>
        <w:pStyle w:val="style0"/>
        <w:ind w:firstLine="348" w:left="36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Эффективность</w:t>
      </w:r>
      <w:r>
        <w:rPr>
          <w:sz w:val="28"/>
          <w:szCs w:val="28"/>
          <w:rFonts w:ascii="Times New Roman" w:cs="Times New Roman" w:hAnsi="Times New Roman"/>
          <w:lang w:val="en-US"/>
        </w:rPr>
        <w:t xml:space="preserve">: </w:t>
      </w:r>
      <w:r>
        <w:rPr>
          <w:sz w:val="28"/>
          <w:szCs w:val="28"/>
          <w:rFonts w:ascii="Times New Roman" w:cs="Times New Roman" w:hAnsi="Times New Roman"/>
        </w:rPr>
        <w:t>1,80</w:t>
      </w:r>
    </w:p>
    <w:p>
      <w:pPr>
        <w:pStyle w:val="style0"/>
        <w:ind w:firstLine="348" w:left="36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 xml:space="preserve">В 2018 году работы на данных объектах будут продолжены. </w:t>
      </w:r>
    </w:p>
    <w:sectPr>
      <w:formProt w:val="off"/>
      <w:pgSz w:h="16837" w:w="11905"/>
      <w:textDirection w:val="lrTb"/>
      <w:pgNumType w:fmt="decimal"/>
      <w:type w:val="nextPage"/>
      <w:pgMar w:bottom="1134" w:left="1701" w:right="850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auto"/>
    <w:pitch w:val="default"/>
  </w:font>
</w:fonts>
</file>

<file path=word/numbering.xml><?xml version="1.0" encoding="utf-8"?>
<w:numbering xmlns:w="http://schemas.openxmlformats.org/wordprocessingml/2006/main">
  <w:abstractNum w:abstractNumId="1">
    <w:lvl w:ilvl="0">
      <w:start w:val="2018"/>
      <w:numFmt w:val="decimal"/>
      <w:lvlJc w:val="left"/>
      <w:lvlText w:val="%1"/>
      <w:pPr>
        <w:ind w:hanging="600" w:left="1308"/>
      </w:pPr>
    </w:lvl>
    <w:lvl w:ilvl="1">
      <w:start w:val="1"/>
      <w:numFmt w:val="lowerLetter"/>
      <w:lvlJc w:val="left"/>
      <w:lvlText w:val="%2."/>
      <w:pPr>
        <w:ind w:hanging="360" w:left="1788"/>
      </w:pPr>
    </w:lvl>
    <w:lvl w:ilvl="2">
      <w:start w:val="1"/>
      <w:numFmt w:val="lowerRoman"/>
      <w:lvlJc w:val="right"/>
      <w:lvlText w:val="%3."/>
      <w:pPr>
        <w:ind w:hanging="180" w:left="2508"/>
      </w:pPr>
    </w:lvl>
    <w:lvl w:ilvl="3">
      <w:start w:val="1"/>
      <w:numFmt w:val="decimal"/>
      <w:lvlJc w:val="left"/>
      <w:lvlText w:val="%4."/>
      <w:pPr>
        <w:ind w:hanging="360" w:left="3228"/>
      </w:pPr>
    </w:lvl>
    <w:lvl w:ilvl="4">
      <w:start w:val="1"/>
      <w:numFmt w:val="lowerLetter"/>
      <w:lvlJc w:val="left"/>
      <w:lvlText w:val="%5."/>
      <w:pPr>
        <w:ind w:hanging="360" w:left="3948"/>
      </w:pPr>
    </w:lvl>
    <w:lvl w:ilvl="5">
      <w:start w:val="1"/>
      <w:numFmt w:val="lowerRoman"/>
      <w:lvlJc w:val="right"/>
      <w:lvlText w:val="%6."/>
      <w:pPr>
        <w:ind w:hanging="180" w:left="4668"/>
      </w:pPr>
    </w:lvl>
    <w:lvl w:ilvl="6">
      <w:start w:val="1"/>
      <w:numFmt w:val="decimal"/>
      <w:lvlJc w:val="left"/>
      <w:lvlText w:val="%7."/>
      <w:pPr>
        <w:ind w:hanging="360" w:left="5388"/>
      </w:pPr>
    </w:lvl>
    <w:lvl w:ilvl="7">
      <w:start w:val="1"/>
      <w:numFmt w:val="lowerLetter"/>
      <w:lvlJc w:val="left"/>
      <w:lvlText w:val="%8."/>
      <w:pPr>
        <w:ind w:hanging="360" w:left="6108"/>
      </w:pPr>
    </w:lvl>
    <w:lvl w:ilvl="8">
      <w:start w:val="1"/>
      <w:numFmt w:val="lowerRoman"/>
      <w:lvlJc w:val="right"/>
      <w:lvlText w:val="%9."/>
      <w:pPr>
        <w:ind w:hanging="180" w:left="6828"/>
      </w:pPr>
    </w:lvl>
  </w:abstractNum>
  <w:abstractNum w:abstractNumId="2">
    <w:lvl w:ilvl="0">
      <w:start w:val="1"/>
      <w:numFmt w:val="none"/>
      <w:lvlJc w:val="left"/>
      <w:lvlText w:val=""/>
      <w:pPr>
        <w:ind w:hanging="432" w:left="432"/>
      </w:pPr>
    </w:lvl>
    <w:lvl w:ilvl="1">
      <w:start w:val="1"/>
      <w:numFmt w:val="none"/>
      <w:lvlJc w:val="left"/>
      <w:lvlText w:val=""/>
      <w:pPr>
        <w:ind w:hanging="576" w:left="576"/>
      </w:pPr>
    </w:lvl>
    <w:lvl w:ilvl="2">
      <w:start w:val="1"/>
      <w:numFmt w:val="none"/>
      <w:lvlJc w:val="left"/>
      <w:lvlText w:val=""/>
      <w:pPr>
        <w:ind w:hanging="720" w:left="720"/>
      </w:pPr>
    </w:lvl>
    <w:lvl w:ilvl="3">
      <w:start w:val="1"/>
      <w:numFmt w:val="none"/>
      <w:lvlJc w:val="left"/>
      <w:lvlText w:val=""/>
      <w:pPr>
        <w:ind w:hanging="864" w:left="864"/>
      </w:pPr>
    </w:lvl>
    <w:lvl w:ilvl="4">
      <w:start w:val="1"/>
      <w:numFmt w:val="none"/>
      <w:lvlJc w:val="left"/>
      <w:lvlText w:val=""/>
      <w:pPr>
        <w:ind w:hanging="1008" w:left="1008"/>
      </w:pPr>
    </w:lvl>
    <w:lvl w:ilvl="5">
      <w:start w:val="1"/>
      <w:numFmt w:val="none"/>
      <w:lvlJc w:val="left"/>
      <w:lvlText w:val=""/>
      <w:pPr>
        <w:ind w:hanging="1152" w:left="1152"/>
      </w:pPr>
    </w:lvl>
    <w:lvl w:ilvl="6">
      <w:start w:val="1"/>
      <w:numFmt w:val="none"/>
      <w:lvlJc w:val="left"/>
      <w:lvlText w:val=""/>
      <w:pPr>
        <w:ind w:hanging="1296" w:left="1296"/>
      </w:pPr>
    </w:lvl>
    <w:lvl w:ilvl="7">
      <w:start w:val="1"/>
      <w:numFmt w:val="none"/>
      <w:lvlJc w:val="left"/>
      <w:lvlText w:val=""/>
      <w:pPr>
        <w:ind w:hanging="1440" w:left="1440"/>
      </w:pPr>
    </w:lvl>
    <w:lvl w:ilvl="8">
      <w:start w:val="1"/>
      <w:numFmt w:val="none"/>
      <w:lvlJc w:val="left"/>
      <w:lvlText w:val=""/>
      <w:pPr>
        <w:ind w:hanging="1584" w:left="1584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00000A"/>
      <w:sz w:val="22"/>
      <w:szCs w:val="22"/>
      <w:rFonts w:ascii="Calibri" w:cs="" w:eastAsia="Arial Unicode MS" w:hAnsi="Calibri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</w:pPr>
    <w:rPr>
      <w:sz w:val="28"/>
      <w:szCs w:val="28"/>
      <w:rFonts w:ascii="Arial" w:cs="Tahoma" w:eastAsia="MS Mincho" w:hAnsi="Arial"/>
    </w:rPr>
  </w:style>
  <w:style w:styleId="style17" w:type="paragraph">
    <w:name w:val="Основной текст"/>
    <w:basedOn w:val="style0"/>
    <w:next w:val="style17"/>
    <w:pPr>
      <w:spacing w:after="120" w:before="0"/>
    </w:pPr>
    <w:rPr/>
  </w:style>
  <w:style w:styleId="style18" w:type="paragraph">
    <w:name w:val="Список"/>
    <w:basedOn w:val="style17"/>
    <w:next w:val="style18"/>
    <w:pPr/>
    <w:rPr>
      <w:rFonts w:ascii="Arial" w:cs="Tahoma" w:hAnsi="Arial"/>
    </w:rPr>
  </w:style>
  <w:style w:styleId="style19" w:type="paragraph">
    <w:name w:val="Название"/>
    <w:basedOn w:val="style0"/>
    <w:next w:val="style19"/>
    <w:pPr>
      <w:suppressLineNumbers/>
      <w:spacing w:after="120" w:before="120"/>
    </w:pPr>
    <w:rPr>
      <w:sz w:val="20"/>
      <w:i/>
      <w:szCs w:val="24"/>
      <w:iCs/>
      <w:rFonts w:ascii="Arial" w:cs="Tahoma" w:hAnsi="Arial"/>
    </w:rPr>
  </w:style>
  <w:style w:styleId="style20" w:type="paragraph">
    <w:name w:val="Указатель"/>
    <w:basedOn w:val="style0"/>
    <w:next w:val="style20"/>
    <w:pPr>
      <w:suppressLineNumbers/>
    </w:pPr>
    <w:rPr>
      <w:rFonts w:ascii="Arial" w:cs="Tahoma" w:hAnsi="Arial"/>
    </w:rPr>
  </w:style>
  <w:style w:styleId="style21" w:type="paragraph">
    <w:name w:val="List Paragraph"/>
    <w:basedOn w:val="style0"/>
    <w:next w:val="style21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2017-09-04T08:58:00.00Z</dcterms:created>
  <dc:creator>Гребенщикова Екатерина Вячеславовна</dc:creator>
  <cp:lastModifiedBy>Гребенщикова Екатерина Вячеславовна</cp:lastModifiedBy>
  <cp:lastPrinted>2017-09-04T09:19:00.00Z</cp:lastPrinted>
  <dcterms:modified xsi:type="dcterms:W3CDTF">2017-09-04T09:37:00.00Z</dcterms:modified>
  <cp:revision>2</cp:revision>
</cp:coreProperties>
</file>